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HUMAN RESOURCES COMMITTEE MEETING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SEPTEMBER 22, 2010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Rogers, Clerk of the Board 510-437-8468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E3 Conference Room 19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Nelson, Chair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CLOSED SESSION: </w:t>
      </w:r>
      <w:r>
        <w:rPr>
          <w:rFonts w:ascii="Times New Roman" w:hAnsi="Times New Roman" w:cs="Times New Roman"/>
        </w:rPr>
        <w:t>9:00 A.M. – 10:15 A.M.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 – POTENTIAL LITIGATION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General Counsel and Jeanette Louden-Corbett, Chief Human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Officer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EXISTING LITIGATION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NEGOTIATOR- ACMEA, SEIU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SESSION: 10:15 A. M.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FOR MAY 19, 2010 MEETING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REPORT ON RESULTS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2010 EMPLOYEE PARTNERSHIP SURVEY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Human Resource Committee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of September 22, 2010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REPORT ON AVAILABLE APPLICANT POOLS AND RECRUITMENT STRATEGY FOR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 POSITIONS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Louden-Corbett, Chief Human Resource Officer and Mary </w:t>
      </w:r>
      <w:proofErr w:type="spellStart"/>
      <w:r>
        <w:rPr>
          <w:rFonts w:ascii="Times New Roman" w:hAnsi="Times New Roman" w:cs="Times New Roman"/>
        </w:rPr>
        <w:t>Dugbartey</w:t>
      </w:r>
      <w:proofErr w:type="spellEnd"/>
      <w:r>
        <w:rPr>
          <w:rFonts w:ascii="Times New Roman" w:hAnsi="Times New Roman" w:cs="Times New Roman"/>
        </w:rPr>
        <w:t>,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Workforce Planning and Development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HEALTH AND WELFARE BENEFITS FOR 2011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Jodi De Lucca, Director of Compensation, Benefits and HRIS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UPDATE CONCERNING FIDUCIARY COMMITTEE FOR ACMC SALARY DEFERRAL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PLANS; 457(B) AND 403(B) PLANS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MONTHLY REPORT FROM CHIEF HUMAN RESOURCE OFFICER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LEGAL COUNSEL REPORT ON ACTION TAKEN IN CLOSED SESSION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PUBLIC COMMENTS</w:t>
      </w:r>
    </w:p>
    <w:p w:rsidR="005F778D" w:rsidRDefault="005F778D" w:rsidP="005F77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BOARD OF TRUSTEES REMARKS</w:t>
      </w:r>
    </w:p>
    <w:p w:rsidR="00E97B0A" w:rsidRDefault="005F778D" w:rsidP="005F778D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8D"/>
    <w:rsid w:val="005F57D1"/>
    <w:rsid w:val="005F778D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2013-02-26T19:28:00Z</dcterms:created>
  <dcterms:modified xsi:type="dcterms:W3CDTF">2013-02-26T19:28:00Z</dcterms:modified>
</cp:coreProperties>
</file>